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74AC" w14:textId="77777777" w:rsidR="00313BA3" w:rsidRPr="00313BA3" w:rsidRDefault="00313BA3" w:rsidP="00313BA3">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313BA3">
        <w:rPr>
          <w:rFonts w:ascii="Verdana" w:eastAsia="Times New Roman" w:hAnsi="Verdana" w:cs="Times New Roman"/>
          <w:color w:val="CC3300"/>
          <w:kern w:val="36"/>
          <w:sz w:val="36"/>
          <w:szCs w:val="36"/>
          <w:lang w:eastAsia="fr-BE"/>
        </w:rPr>
        <w:t>Le cuivre chute face à une demande affaiblie</w:t>
      </w:r>
    </w:p>
    <w:p w14:paraId="711FCEB1" w14:textId="77777777" w:rsidR="00313BA3" w:rsidRDefault="00313BA3" w:rsidP="00313BA3">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28A25F45" w14:textId="45FC0A31" w:rsidR="00313BA3" w:rsidRPr="00313BA3" w:rsidRDefault="00313BA3" w:rsidP="00313BA3">
      <w:pPr>
        <w:shd w:val="clear" w:color="auto" w:fill="FFFFFF"/>
        <w:spacing w:before="75" w:after="75" w:line="240" w:lineRule="auto"/>
        <w:jc w:val="both"/>
        <w:rPr>
          <w:rFonts w:ascii="Verdana" w:eastAsia="Times New Roman" w:hAnsi="Verdana" w:cs="Times New Roman"/>
          <w:color w:val="000000"/>
          <w:sz w:val="23"/>
          <w:szCs w:val="23"/>
          <w:lang w:eastAsia="fr-BE"/>
        </w:rPr>
      </w:pPr>
      <w:r w:rsidRPr="00313BA3">
        <w:rPr>
          <w:rFonts w:ascii="Verdana" w:eastAsia="Times New Roman" w:hAnsi="Verdana" w:cs="Times New Roman"/>
          <w:color w:val="000000"/>
          <w:sz w:val="23"/>
          <w:szCs w:val="23"/>
          <w:lang w:eastAsia="fr-BE"/>
        </w:rPr>
        <w:t>Les cours du </w:t>
      </w:r>
      <w:r w:rsidRPr="00313BA3">
        <w:rPr>
          <w:rFonts w:ascii="Verdana" w:eastAsia="Times New Roman" w:hAnsi="Verdana" w:cs="Times New Roman"/>
          <w:color w:val="000000"/>
          <w:sz w:val="23"/>
          <w:szCs w:val="23"/>
          <w:u w:val="single"/>
          <w:lang w:eastAsia="fr-BE"/>
        </w:rPr>
        <w:t>cuivre</w:t>
      </w:r>
      <w:r w:rsidRPr="00313BA3">
        <w:rPr>
          <w:rFonts w:ascii="Verdana" w:eastAsia="Times New Roman" w:hAnsi="Verdana" w:cs="Times New Roman"/>
          <w:color w:val="000000"/>
          <w:sz w:val="23"/>
          <w:szCs w:val="23"/>
          <w:lang w:eastAsia="fr-BE"/>
        </w:rPr>
        <w:t> sont en chute. Un ralentissement de la croissance de l’activité industrielle en Chine refait fleurir des craintes concernant la demande, tandis que le dollar renchérit sous l’effet d’angoisses renouvelées autour de l’inflation.</w:t>
      </w:r>
    </w:p>
    <w:p w14:paraId="782DB088" w14:textId="77777777" w:rsidR="00313BA3" w:rsidRPr="00313BA3" w:rsidRDefault="00313BA3" w:rsidP="00313BA3">
      <w:pPr>
        <w:shd w:val="clear" w:color="auto" w:fill="FFFFFF"/>
        <w:spacing w:before="75" w:after="75" w:line="240" w:lineRule="auto"/>
        <w:jc w:val="both"/>
        <w:rPr>
          <w:rFonts w:ascii="Verdana" w:eastAsia="Times New Roman" w:hAnsi="Verdana" w:cs="Times New Roman"/>
          <w:color w:val="000000"/>
          <w:sz w:val="23"/>
          <w:szCs w:val="23"/>
          <w:lang w:eastAsia="fr-BE"/>
        </w:rPr>
      </w:pPr>
      <w:r w:rsidRPr="00313BA3">
        <w:rPr>
          <w:rFonts w:ascii="Verdana" w:eastAsia="Times New Roman" w:hAnsi="Verdana" w:cs="Times New Roman"/>
          <w:color w:val="000000"/>
          <w:sz w:val="23"/>
          <w:szCs w:val="23"/>
          <w:lang w:eastAsia="fr-BE"/>
        </w:rPr>
        <w:t>Sur le LME, le </w:t>
      </w:r>
      <w:r w:rsidRPr="00313BA3">
        <w:rPr>
          <w:rFonts w:ascii="Verdana" w:eastAsia="Times New Roman" w:hAnsi="Verdana" w:cs="Times New Roman"/>
          <w:color w:val="000000"/>
          <w:sz w:val="23"/>
          <w:szCs w:val="23"/>
          <w:u w:val="single"/>
          <w:lang w:eastAsia="fr-BE"/>
        </w:rPr>
        <w:t>cuivre</w:t>
      </w:r>
      <w:r w:rsidRPr="00313BA3">
        <w:rPr>
          <w:rFonts w:ascii="Verdana" w:eastAsia="Times New Roman" w:hAnsi="Verdana" w:cs="Times New Roman"/>
          <w:color w:val="000000"/>
          <w:sz w:val="23"/>
          <w:szCs w:val="23"/>
          <w:lang w:eastAsia="fr-BE"/>
        </w:rPr>
        <w:t xml:space="preserve"> pour livraison à trois mois perd 0,5 % à 8.951 $/t. Sur le </w:t>
      </w:r>
      <w:proofErr w:type="spellStart"/>
      <w:r w:rsidRPr="00313BA3">
        <w:rPr>
          <w:rFonts w:ascii="Verdana" w:eastAsia="Times New Roman" w:hAnsi="Verdana" w:cs="Times New Roman"/>
          <w:color w:val="000000"/>
          <w:sz w:val="23"/>
          <w:szCs w:val="23"/>
          <w:lang w:eastAsia="fr-BE"/>
        </w:rPr>
        <w:t>ShFE</w:t>
      </w:r>
      <w:proofErr w:type="spellEnd"/>
      <w:r w:rsidRPr="00313BA3">
        <w:rPr>
          <w:rFonts w:ascii="Verdana" w:eastAsia="Times New Roman" w:hAnsi="Verdana" w:cs="Times New Roman"/>
          <w:color w:val="000000"/>
          <w:sz w:val="23"/>
          <w:szCs w:val="23"/>
          <w:lang w:eastAsia="fr-BE"/>
        </w:rPr>
        <w:t>, le contrat le plus échangé (échéance mai) a glissé de 0,1 % à 69.340 yuan/t (10,067.81 $).</w:t>
      </w:r>
    </w:p>
    <w:p w14:paraId="0BDA42C7" w14:textId="77777777" w:rsidR="00313BA3" w:rsidRPr="00313BA3" w:rsidRDefault="00313BA3" w:rsidP="00313BA3">
      <w:pPr>
        <w:shd w:val="clear" w:color="auto" w:fill="FFFFFF"/>
        <w:spacing w:before="75" w:after="75" w:line="240" w:lineRule="auto"/>
        <w:jc w:val="both"/>
        <w:rPr>
          <w:rFonts w:ascii="Verdana" w:eastAsia="Times New Roman" w:hAnsi="Verdana" w:cs="Times New Roman"/>
          <w:color w:val="000000"/>
          <w:sz w:val="23"/>
          <w:szCs w:val="23"/>
          <w:lang w:eastAsia="fr-BE"/>
        </w:rPr>
      </w:pPr>
      <w:r w:rsidRPr="00313BA3">
        <w:rPr>
          <w:rFonts w:ascii="Verdana" w:eastAsia="Times New Roman" w:hAnsi="Verdana" w:cs="Times New Roman"/>
          <w:color w:val="000000"/>
          <w:sz w:val="23"/>
          <w:szCs w:val="23"/>
          <w:lang w:eastAsia="fr-BE"/>
        </w:rPr>
        <w:t>Le </w:t>
      </w:r>
      <w:proofErr w:type="spellStart"/>
      <w:r w:rsidRPr="00313BA3">
        <w:rPr>
          <w:rFonts w:ascii="Verdana" w:eastAsia="Times New Roman" w:hAnsi="Verdana" w:cs="Times New Roman"/>
          <w:i/>
          <w:iCs/>
          <w:color w:val="000000"/>
          <w:sz w:val="23"/>
          <w:szCs w:val="23"/>
          <w:lang w:eastAsia="fr-BE"/>
        </w:rPr>
        <w:t>purchasing</w:t>
      </w:r>
      <w:proofErr w:type="spellEnd"/>
      <w:r w:rsidRPr="00313BA3">
        <w:rPr>
          <w:rFonts w:ascii="Verdana" w:eastAsia="Times New Roman" w:hAnsi="Verdana" w:cs="Times New Roman"/>
          <w:i/>
          <w:iCs/>
          <w:color w:val="000000"/>
          <w:sz w:val="23"/>
          <w:szCs w:val="23"/>
          <w:lang w:eastAsia="fr-BE"/>
        </w:rPr>
        <w:t xml:space="preserve"> managers’ index</w:t>
      </w:r>
      <w:r w:rsidRPr="00313BA3">
        <w:rPr>
          <w:rFonts w:ascii="Verdana" w:eastAsia="Times New Roman" w:hAnsi="Verdana" w:cs="Times New Roman"/>
          <w:color w:val="000000"/>
          <w:sz w:val="23"/>
          <w:szCs w:val="23"/>
          <w:lang w:eastAsia="fr-BE"/>
        </w:rPr>
        <w:t> (PMI) chinois est tombé à 50.0 en mars, contre 51.6 en février, un score qui indiquait alors une reprise de la croissance pour la première fois depuis 7 mois. Une valeur de 51.7 était attendue ce mois-ci. Pour rappel, le score de 50.0 représente la limite entre croissance et contraction économique.</w:t>
      </w:r>
    </w:p>
    <w:p w14:paraId="4F407906" w14:textId="77777777" w:rsidR="00313BA3" w:rsidRPr="00313BA3" w:rsidRDefault="00313BA3" w:rsidP="00313BA3">
      <w:pPr>
        <w:shd w:val="clear" w:color="auto" w:fill="FFFFFF"/>
        <w:spacing w:before="75" w:after="75" w:line="240" w:lineRule="auto"/>
        <w:jc w:val="both"/>
        <w:rPr>
          <w:rFonts w:ascii="Verdana" w:eastAsia="Times New Roman" w:hAnsi="Verdana" w:cs="Times New Roman"/>
          <w:color w:val="000000"/>
          <w:sz w:val="23"/>
          <w:szCs w:val="23"/>
          <w:lang w:eastAsia="fr-BE"/>
        </w:rPr>
      </w:pPr>
      <w:r w:rsidRPr="00313BA3">
        <w:rPr>
          <w:rFonts w:ascii="Verdana" w:eastAsia="Times New Roman" w:hAnsi="Verdana" w:cs="Times New Roman"/>
          <w:color w:val="000000"/>
          <w:sz w:val="23"/>
          <w:szCs w:val="23"/>
          <w:lang w:eastAsia="fr-BE"/>
        </w:rPr>
        <w:t>Par ailleurs, le dollar commence la semaine en hausse alors que des craintes concernant l’inflation refont surface. Un billet vert fort rend les produits libellés en dollar moins attractifs pour les détenteurs d’autres devises. Les principaux producteurs de pétrole ont fait une annonce qui a surpris : ils vont réduire le volume de production. Les courtiers anticipent un nouveau relèvement des taux lors de la prochaine réunion de la Réserve fédérale américaine.</w:t>
      </w:r>
    </w:p>
    <w:p w14:paraId="776FC5E0" w14:textId="77777777" w:rsidR="00313BA3" w:rsidRPr="00313BA3" w:rsidRDefault="00313BA3" w:rsidP="00313BA3">
      <w:pPr>
        <w:shd w:val="clear" w:color="auto" w:fill="FFFFFF"/>
        <w:spacing w:before="75" w:after="75" w:line="240" w:lineRule="auto"/>
        <w:jc w:val="both"/>
        <w:rPr>
          <w:rFonts w:ascii="Verdana" w:eastAsia="Times New Roman" w:hAnsi="Verdana" w:cs="Times New Roman"/>
          <w:color w:val="000000"/>
          <w:sz w:val="23"/>
          <w:szCs w:val="23"/>
          <w:lang w:eastAsia="fr-BE"/>
        </w:rPr>
      </w:pPr>
      <w:r w:rsidRPr="00313BA3">
        <w:rPr>
          <w:rFonts w:ascii="Verdana" w:eastAsia="Times New Roman" w:hAnsi="Verdana" w:cs="Times New Roman"/>
          <w:color w:val="000000"/>
          <w:sz w:val="23"/>
          <w:szCs w:val="23"/>
          <w:lang w:eastAsia="fr-BE"/>
        </w:rPr>
        <w:t xml:space="preserve">Sur le </w:t>
      </w:r>
      <w:proofErr w:type="spellStart"/>
      <w:r w:rsidRPr="00313BA3">
        <w:rPr>
          <w:rFonts w:ascii="Verdana" w:eastAsia="Times New Roman" w:hAnsi="Verdana" w:cs="Times New Roman"/>
          <w:color w:val="000000"/>
          <w:sz w:val="23"/>
          <w:szCs w:val="23"/>
          <w:lang w:eastAsia="fr-BE"/>
        </w:rPr>
        <w:t>ShFE</w:t>
      </w:r>
      <w:proofErr w:type="spellEnd"/>
      <w:r w:rsidRPr="00313BA3">
        <w:rPr>
          <w:rFonts w:ascii="Verdana" w:eastAsia="Times New Roman" w:hAnsi="Verdana" w:cs="Times New Roman"/>
          <w:color w:val="000000"/>
          <w:sz w:val="23"/>
          <w:szCs w:val="23"/>
          <w:lang w:eastAsia="fr-BE"/>
        </w:rPr>
        <w:t>, tous les métaux sont baisse mis à part le </w:t>
      </w:r>
      <w:r w:rsidRPr="00313BA3">
        <w:rPr>
          <w:rFonts w:ascii="Verdana" w:eastAsia="Times New Roman" w:hAnsi="Verdana" w:cs="Times New Roman"/>
          <w:color w:val="000000"/>
          <w:sz w:val="23"/>
          <w:szCs w:val="23"/>
          <w:u w:val="single"/>
          <w:lang w:eastAsia="fr-BE"/>
        </w:rPr>
        <w:t>nickel</w:t>
      </w:r>
      <w:r w:rsidRPr="00313BA3">
        <w:rPr>
          <w:rFonts w:ascii="Verdana" w:eastAsia="Times New Roman" w:hAnsi="Verdana" w:cs="Times New Roman"/>
          <w:color w:val="000000"/>
          <w:sz w:val="23"/>
          <w:szCs w:val="23"/>
          <w:lang w:eastAsia="fr-BE"/>
        </w:rPr>
        <w:t>, qui gagne 1,2 % à 177.100 yuan/t (25.708$)</w:t>
      </w:r>
    </w:p>
    <w:p w14:paraId="72B5A6CA" w14:textId="77777777" w:rsidR="0015323D" w:rsidRDefault="0015323D"/>
    <w:sectPr w:rsidR="00153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A3"/>
    <w:rsid w:val="0015323D"/>
    <w:rsid w:val="00313B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9628"/>
  <w15:chartTrackingRefBased/>
  <w15:docId w15:val="{86E7F7A5-2F2B-42F4-812F-BC2754AB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1163</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2023-04-03T08:15:00Z</dcterms:created>
  <dcterms:modified xsi:type="dcterms:W3CDTF">2023-04-03T08:15:00Z</dcterms:modified>
</cp:coreProperties>
</file>